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7" w:rsidRDefault="00474797" w:rsidP="00474797">
      <w:pPr>
        <w:jc w:val="center"/>
        <w:rPr>
          <w:rStyle w:val="Accentuation"/>
          <w:i w:val="0"/>
          <w:sz w:val="28"/>
        </w:rPr>
      </w:pPr>
      <w:r w:rsidRPr="00474797">
        <w:rPr>
          <w:rStyle w:val="Accentuation"/>
          <w:i w:val="0"/>
          <w:sz w:val="28"/>
        </w:rPr>
        <w:t>Les modes</w:t>
      </w:r>
    </w:p>
    <w:p w:rsidR="00474797" w:rsidRDefault="00474797" w:rsidP="00474797">
      <w:pPr>
        <w:jc w:val="center"/>
        <w:rPr>
          <w:rStyle w:val="lev"/>
          <w:rFonts w:cstheme="minorHAnsi"/>
          <w:b w:val="0"/>
          <w:color w:val="000000"/>
          <w:szCs w:val="28"/>
          <w:shd w:val="clear" w:color="auto" w:fill="FFFFFF"/>
        </w:rPr>
      </w:pPr>
      <w:r w:rsidRPr="00474797">
        <w:rPr>
          <w:rStyle w:val="Accentuation"/>
          <w:i w:val="0"/>
          <w:sz w:val="24"/>
        </w:rPr>
        <w:t>Définition du mode du verbe </w:t>
      </w:r>
      <w:r w:rsidRPr="00474797">
        <w:rPr>
          <w:rStyle w:val="Accentuation"/>
          <w:rFonts w:cstheme="minorHAnsi"/>
          <w:i w:val="0"/>
          <w:sz w:val="24"/>
          <w:szCs w:val="28"/>
        </w:rPr>
        <w:t>: «</w:t>
      </w:r>
      <w:r w:rsidRPr="00474797">
        <w:rPr>
          <w:rStyle w:val="apple-converted-space"/>
          <w:rFonts w:cstheme="minorHAnsi"/>
          <w:color w:val="000000"/>
          <w:sz w:val="24"/>
          <w:szCs w:val="28"/>
          <w:shd w:val="clear" w:color="auto" w:fill="FFFFFF"/>
        </w:rPr>
        <w:t> </w:t>
      </w:r>
      <w:r w:rsidRPr="00474797">
        <w:rPr>
          <w:rFonts w:cstheme="minorHAnsi"/>
          <w:color w:val="000000"/>
          <w:sz w:val="24"/>
          <w:szCs w:val="28"/>
          <w:shd w:val="clear" w:color="auto" w:fill="FFFFFF"/>
        </w:rPr>
        <w:t>Le mode d'un verbe indique la</w:t>
      </w:r>
      <w:r w:rsidRPr="00474797">
        <w:rPr>
          <w:rStyle w:val="apple-converted-space"/>
          <w:rFonts w:cstheme="minorHAnsi"/>
          <w:color w:val="000000"/>
          <w:sz w:val="24"/>
          <w:szCs w:val="28"/>
          <w:shd w:val="clear" w:color="auto" w:fill="FFFFFF"/>
        </w:rPr>
        <w:t> </w:t>
      </w:r>
      <w:r w:rsidRPr="00474797">
        <w:rPr>
          <w:rStyle w:val="lev"/>
          <w:rFonts w:cstheme="minorHAnsi"/>
          <w:color w:val="000000"/>
          <w:sz w:val="24"/>
          <w:szCs w:val="28"/>
          <w:shd w:val="clear" w:color="auto" w:fill="FFFFFF"/>
        </w:rPr>
        <w:t>fa</w:t>
      </w:r>
      <w:r w:rsidRPr="00474797">
        <w:rPr>
          <w:rStyle w:val="lev"/>
          <w:rFonts w:cstheme="minorHAnsi"/>
          <w:color w:val="000000"/>
          <w:sz w:val="24"/>
          <w:szCs w:val="28"/>
          <w:shd w:val="clear" w:color="auto" w:fill="FFFFFF"/>
        </w:rPr>
        <w:t>çon dont l'action est présentée.</w:t>
      </w:r>
      <w:r w:rsidRPr="00474797">
        <w:rPr>
          <w:rStyle w:val="lev"/>
          <w:rFonts w:cstheme="minorHAnsi"/>
          <w:b w:val="0"/>
          <w:color w:val="000000"/>
          <w:sz w:val="24"/>
          <w:szCs w:val="28"/>
          <w:shd w:val="clear" w:color="auto" w:fill="FFFFFF"/>
        </w:rPr>
        <w:t xml:space="preserve">» </w:t>
      </w:r>
      <w:r w:rsidRPr="00474797">
        <w:rPr>
          <w:rStyle w:val="lev"/>
          <w:rFonts w:cstheme="minorHAnsi"/>
          <w:b w:val="0"/>
          <w:color w:val="000000"/>
          <w:szCs w:val="28"/>
          <w:shd w:val="clear" w:color="auto" w:fill="FFFFFF"/>
        </w:rPr>
        <w:t xml:space="preserve">(Auteur inconnue. «Mode du verbe», sur assistancescolaire.com, </w:t>
      </w:r>
      <w:hyperlink r:id="rId6" w:history="1">
        <w:r w:rsidRPr="00474797">
          <w:rPr>
            <w:rStyle w:val="Lienhypertexte"/>
            <w:rFonts w:cstheme="minorHAnsi"/>
            <w:szCs w:val="28"/>
            <w:shd w:val="clear" w:color="auto" w:fill="FFFFFF"/>
          </w:rPr>
          <w:t>http://www.assistancescolaire.com/eleve/6e/francais/lexique/M-mode-du-verbe-fc_m04</w:t>
        </w:r>
      </w:hyperlink>
      <w:r w:rsidRPr="00474797">
        <w:rPr>
          <w:rStyle w:val="lev"/>
          <w:rFonts w:cstheme="minorHAnsi"/>
          <w:b w:val="0"/>
          <w:color w:val="000000"/>
          <w:szCs w:val="28"/>
          <w:shd w:val="clear" w:color="auto" w:fill="FFFFFF"/>
        </w:rPr>
        <w:t xml:space="preserve"> (03/12/12))</w:t>
      </w:r>
    </w:p>
    <w:p w:rsidR="00474797" w:rsidRDefault="00474797" w:rsidP="00474797">
      <w:pPr>
        <w:rPr>
          <w:rStyle w:val="lev"/>
          <w:rFonts w:cstheme="minorHAnsi"/>
          <w:b w:val="0"/>
          <w:color w:val="000000"/>
          <w:szCs w:val="28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Cs w:val="28"/>
          <w:shd w:val="clear" w:color="auto" w:fill="FFFFFF"/>
        </w:rPr>
        <w:t>Un mode, selon la définition, indique comment une action est présenté dans une phrase selon le contexte. Il existe en tout 4 modes : le subjonctif, l’indicatif, l’impératif et le conditionnel. Par contre, le document suivant fait la distinction entre l’indicatif et le subjonctif.</w:t>
      </w:r>
    </w:p>
    <w:p w:rsidR="00474797" w:rsidRPr="00474797" w:rsidRDefault="00474797" w:rsidP="00474797">
      <w:pPr>
        <w:rPr>
          <w:rStyle w:val="Accentuation"/>
          <w:i w:val="0"/>
          <w:sz w:val="24"/>
        </w:rPr>
      </w:pPr>
      <w:r>
        <w:rPr>
          <w:i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48768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5.95pt" to="39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" strokecolor="#4579b8 [3044]"/>
            </w:pict>
          </mc:Fallback>
        </mc:AlternateContent>
      </w:r>
    </w:p>
    <w:p w:rsidR="0062524F" w:rsidRPr="00C42DAB" w:rsidRDefault="00DD7184" w:rsidP="0062524F">
      <w:pPr>
        <w:rPr>
          <w:rStyle w:val="Accentuation"/>
        </w:rPr>
      </w:pPr>
      <w:r w:rsidRPr="00C42DAB">
        <w:rPr>
          <w:rStyle w:val="Accentuation"/>
        </w:rPr>
        <w:t xml:space="preserve">Le subjonctif est un mode personnel qui exprime une éventualité, un souhait, une action dans la pensée, une hypothèse. L’action n’est pas dans la réalité. </w:t>
      </w:r>
      <w:r w:rsidR="00D63545" w:rsidRPr="00C42DAB">
        <w:rPr>
          <w:rStyle w:val="Accentuation"/>
        </w:rPr>
        <w:t xml:space="preserve"> </w:t>
      </w:r>
    </w:p>
    <w:p w:rsidR="00D63545" w:rsidRPr="00C42DAB" w:rsidRDefault="00D63545" w:rsidP="00D63545">
      <w:pPr>
        <w:jc w:val="right"/>
        <w:rPr>
          <w:rStyle w:val="Accentuation"/>
        </w:rPr>
      </w:pPr>
      <w:r w:rsidRPr="00C42DAB">
        <w:rPr>
          <w:rStyle w:val="Accentuation"/>
        </w:rPr>
        <w:t>L’indicatif est aussi un mode mais qui marque une chronologie, du réel.</w:t>
      </w:r>
      <w:r w:rsidR="00DF745C" w:rsidRPr="00C42DAB">
        <w:rPr>
          <w:rStyle w:val="Accentuation"/>
        </w:rPr>
        <w:t xml:space="preserve"> I fait référence à des actions passées, présentes et futures.</w:t>
      </w:r>
      <w:r w:rsidRPr="00C42DAB">
        <w:rPr>
          <w:rStyle w:val="Accentuation"/>
        </w:rPr>
        <w:t xml:space="preserve"> </w:t>
      </w:r>
    </w:p>
    <w:p w:rsidR="00E870B1" w:rsidRDefault="00E870B1" w:rsidP="0062524F">
      <w:pPr>
        <w:rPr>
          <w:b/>
          <w:sz w:val="24"/>
        </w:rPr>
        <w:sectPr w:rsidR="00E870B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D7184" w:rsidRPr="002B62EC" w:rsidRDefault="00DD7184" w:rsidP="0062524F">
      <w:pPr>
        <w:rPr>
          <w:color w:val="FF0000"/>
          <w:sz w:val="24"/>
        </w:rPr>
      </w:pPr>
      <w:r w:rsidRPr="002B62EC">
        <w:rPr>
          <w:b/>
          <w:color w:val="FF0000"/>
          <w:sz w:val="24"/>
        </w:rPr>
        <w:lastRenderedPageBreak/>
        <w:t>Le subjonctif marque :</w:t>
      </w:r>
    </w:p>
    <w:p w:rsidR="00DD7184" w:rsidRPr="002B62EC" w:rsidRDefault="00DD7184" w:rsidP="00DD718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B62EC">
        <w:rPr>
          <w:b/>
          <w:u w:val="single"/>
        </w:rPr>
        <w:t>Le doute</w:t>
      </w:r>
    </w:p>
    <w:p w:rsidR="00DD7184" w:rsidRDefault="00DD7184" w:rsidP="00DD7184">
      <w:pPr>
        <w:pStyle w:val="Paragraphedeliste"/>
        <w:numPr>
          <w:ilvl w:val="0"/>
          <w:numId w:val="1"/>
        </w:numPr>
      </w:pPr>
      <w:r>
        <w:t>L’incertitude</w:t>
      </w:r>
    </w:p>
    <w:p w:rsidR="00DD7184" w:rsidRDefault="00DD7184" w:rsidP="00DD7184">
      <w:pPr>
        <w:pStyle w:val="Paragraphedeliste"/>
        <w:numPr>
          <w:ilvl w:val="0"/>
          <w:numId w:val="1"/>
        </w:numPr>
      </w:pPr>
      <w:r>
        <w:t>La crainte</w:t>
      </w:r>
    </w:p>
    <w:p w:rsidR="00DD7184" w:rsidRDefault="00DD7184" w:rsidP="00DD7184">
      <w:pPr>
        <w:pStyle w:val="Paragraphedeliste"/>
        <w:numPr>
          <w:ilvl w:val="0"/>
          <w:numId w:val="1"/>
        </w:numPr>
      </w:pPr>
      <w:r>
        <w:t>La supposition</w:t>
      </w:r>
    </w:p>
    <w:p w:rsidR="00DD7184" w:rsidRDefault="00DD7184" w:rsidP="00DD7184">
      <w:pPr>
        <w:pStyle w:val="Paragraphedeliste"/>
        <w:numPr>
          <w:ilvl w:val="0"/>
          <w:numId w:val="1"/>
        </w:numPr>
      </w:pPr>
      <w:r>
        <w:t>Le souhait</w:t>
      </w:r>
    </w:p>
    <w:p w:rsidR="00DD7184" w:rsidRDefault="00DD7184" w:rsidP="00DD7184">
      <w:pPr>
        <w:pStyle w:val="Paragraphedeliste"/>
        <w:numPr>
          <w:ilvl w:val="0"/>
          <w:numId w:val="1"/>
        </w:numPr>
      </w:pPr>
      <w:r>
        <w:t>La prière</w:t>
      </w:r>
    </w:p>
    <w:p w:rsidR="00E870B1" w:rsidRPr="002B62EC" w:rsidRDefault="00E870B1" w:rsidP="00E870B1">
      <w:pPr>
        <w:rPr>
          <w:b/>
          <w:color w:val="FF0000"/>
          <w:sz w:val="24"/>
          <w:szCs w:val="24"/>
        </w:rPr>
      </w:pPr>
      <w:r w:rsidRPr="002B62EC">
        <w:rPr>
          <w:b/>
          <w:color w:val="FF0000"/>
          <w:sz w:val="24"/>
          <w:szCs w:val="24"/>
        </w:rPr>
        <w:lastRenderedPageBreak/>
        <w:t>L’indicatif marque :</w:t>
      </w:r>
    </w:p>
    <w:p w:rsidR="00E870B1" w:rsidRPr="002B62EC" w:rsidRDefault="00E870B1" w:rsidP="00E870B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B62EC">
        <w:rPr>
          <w:b/>
          <w:u w:val="single"/>
        </w:rPr>
        <w:t>Un fait qui se déroule</w:t>
      </w:r>
    </w:p>
    <w:p w:rsidR="00E870B1" w:rsidRDefault="00E870B1" w:rsidP="00E870B1">
      <w:pPr>
        <w:pStyle w:val="Paragraphedeliste"/>
        <w:numPr>
          <w:ilvl w:val="0"/>
          <w:numId w:val="1"/>
        </w:numPr>
      </w:pPr>
      <w:r>
        <w:t>Un fait passé</w:t>
      </w:r>
    </w:p>
    <w:p w:rsidR="00E870B1" w:rsidRDefault="00E870B1" w:rsidP="00E870B1">
      <w:pPr>
        <w:pStyle w:val="Paragraphedeliste"/>
        <w:numPr>
          <w:ilvl w:val="0"/>
          <w:numId w:val="1"/>
        </w:numPr>
      </w:pPr>
      <w:r>
        <w:t>Un fait habituel</w:t>
      </w:r>
    </w:p>
    <w:p w:rsidR="00E870B1" w:rsidRDefault="00E870B1" w:rsidP="008F1612">
      <w:pPr>
        <w:pStyle w:val="Paragraphedeliste"/>
        <w:sectPr w:rsidR="00E870B1" w:rsidSect="00E870B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F1612" w:rsidRDefault="00E870B1" w:rsidP="00E870B1">
      <w:pPr>
        <w:pStyle w:val="Paragraphedeliste"/>
        <w:numPr>
          <w:ilvl w:val="0"/>
          <w:numId w:val="1"/>
        </w:numPr>
      </w:pPr>
      <w:r>
        <w:lastRenderedPageBreak/>
        <w:t>La volonté</w:t>
      </w:r>
    </w:p>
    <w:p w:rsidR="00E870B1" w:rsidRDefault="00E870B1" w:rsidP="00E870B1">
      <w:pPr>
        <w:pStyle w:val="Paragraphedeliste"/>
        <w:numPr>
          <w:ilvl w:val="0"/>
          <w:numId w:val="1"/>
        </w:numPr>
      </w:pPr>
      <w:r>
        <w:t>L’interdiction</w:t>
      </w:r>
    </w:p>
    <w:p w:rsidR="00E870B1" w:rsidRDefault="00E870B1" w:rsidP="008F1612">
      <w:pPr>
        <w:pStyle w:val="Paragraphedeliste"/>
      </w:pPr>
    </w:p>
    <w:p w:rsidR="002B62EC" w:rsidRDefault="002B62EC" w:rsidP="008F1612">
      <w:pPr>
        <w:pStyle w:val="Paragraphedeliste"/>
      </w:pPr>
    </w:p>
    <w:p w:rsidR="002B62EC" w:rsidRDefault="002B62EC" w:rsidP="008F1612">
      <w:pPr>
        <w:pStyle w:val="Paragraphedeliste"/>
      </w:pPr>
    </w:p>
    <w:p w:rsidR="002B62EC" w:rsidRDefault="002B62EC" w:rsidP="002B62EC">
      <w:r>
        <w:t xml:space="preserve">Pour savoir s’il faut utiliser le subjonctif ou l’indicatif, il faut regarder la composition de la phrase et le fait qui est exprimé. S’il y a une situation de doute, le verbe devrait être au subjonctif. Si le fait se déroule dans la phrase, le verbe s’accorderait avec un temps de l’indicatif. </w:t>
      </w:r>
      <w:r w:rsidR="000559B5">
        <w:t>¸</w:t>
      </w:r>
    </w:p>
    <w:p w:rsidR="000559B5" w:rsidRDefault="000559B5" w:rsidP="002B62EC"/>
    <w:p w:rsidR="002B62EC" w:rsidRDefault="002B62EC" w:rsidP="008F1612">
      <w:pPr>
        <w:pStyle w:val="Paragraphedeliste"/>
      </w:pPr>
    </w:p>
    <w:p w:rsidR="002B62EC" w:rsidRDefault="002B62EC" w:rsidP="008F1612">
      <w:pPr>
        <w:pStyle w:val="Paragraphedeliste"/>
      </w:pPr>
    </w:p>
    <w:p w:rsidR="002B62EC" w:rsidRDefault="002B62EC" w:rsidP="008F1612">
      <w:pPr>
        <w:pStyle w:val="Paragraphedeliste"/>
      </w:pPr>
    </w:p>
    <w:p w:rsidR="002B62EC" w:rsidRDefault="002B62EC" w:rsidP="008F1612">
      <w:pPr>
        <w:pStyle w:val="Paragraphedeliste"/>
      </w:pPr>
    </w:p>
    <w:p w:rsidR="000559B5" w:rsidRDefault="000559B5" w:rsidP="00DD7184"/>
    <w:p w:rsidR="00DF745C" w:rsidRPr="00C42DAB" w:rsidRDefault="00DF745C" w:rsidP="00DD7184">
      <w:pPr>
        <w:rPr>
          <w:sz w:val="28"/>
          <w:u w:val="single"/>
        </w:rPr>
      </w:pPr>
      <w:r w:rsidRPr="00C42DAB">
        <w:rPr>
          <w:sz w:val="28"/>
          <w:u w:val="single"/>
        </w:rPr>
        <w:lastRenderedPageBreak/>
        <w:t>Utilisation du subjonctif</w:t>
      </w:r>
    </w:p>
    <w:p w:rsidR="0039207A" w:rsidRDefault="0039207A" w:rsidP="00DD7184">
      <w:r>
        <w:t>I</w:t>
      </w:r>
      <w:r w:rsidR="00E24BB4">
        <w:t>l  est surtout utilisé dans des</w:t>
      </w:r>
      <w:r>
        <w:t xml:space="preserve"> phrases subordonnant</w:t>
      </w:r>
      <w:r w:rsidR="00E24BB4">
        <w:t>es</w:t>
      </w:r>
      <w:r>
        <w:t xml:space="preserve"> conjonctives. On l’utilise après ces verbes et locution</w:t>
      </w:r>
      <w:r w:rsidR="00E24BB4">
        <w:t>s</w:t>
      </w:r>
      <w:r>
        <w:t xml:space="preserve"> verbaux :</w:t>
      </w:r>
    </w:p>
    <w:p w:rsidR="0039207A" w:rsidRDefault="0039207A" w:rsidP="0039207A">
      <w:pPr>
        <w:pStyle w:val="Paragraphedeliste"/>
        <w:numPr>
          <w:ilvl w:val="0"/>
          <w:numId w:val="1"/>
        </w:numPr>
        <w:sectPr w:rsidR="0039207A" w:rsidSect="00E870B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lastRenderedPageBreak/>
        <w:t xml:space="preserve">Aimer 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Approuver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Attendre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Avoir envie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Craindre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Défendre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Demander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Déplorer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Désirer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Douter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S’étonner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Exiger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Faire attention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lastRenderedPageBreak/>
        <w:t>Falloir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Importer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Interdire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Ordonner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Permettre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Préférer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Prendre garde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Refuser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Regretter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Souhaiter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Tenir à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vouloir</w:t>
      </w:r>
    </w:p>
    <w:p w:rsidR="0039207A" w:rsidRDefault="0039207A" w:rsidP="00DD7184">
      <w:pPr>
        <w:sectPr w:rsidR="0039207A" w:rsidSect="0039207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39207A" w:rsidRDefault="0039207A" w:rsidP="00DD7184"/>
    <w:p w:rsidR="0039207A" w:rsidRDefault="00C42DAB" w:rsidP="00DD7184">
      <w:r>
        <w:t xml:space="preserve"> </w:t>
      </w:r>
      <w:r w:rsidR="0039207A">
        <w:t>Le subjonctif doit aussi être utilisé après les locutions conjonctives suivantes :</w:t>
      </w:r>
    </w:p>
    <w:p w:rsidR="002A3CA0" w:rsidRDefault="002A3CA0" w:rsidP="0039207A">
      <w:pPr>
        <w:pStyle w:val="Paragraphedeliste"/>
        <w:numPr>
          <w:ilvl w:val="0"/>
          <w:numId w:val="1"/>
        </w:numPr>
        <w:sectPr w:rsidR="002A3CA0" w:rsidSect="0039207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lastRenderedPageBreak/>
        <w:t>à condition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à moins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à supposer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afin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avant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bien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de crainte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de façon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>de peur que</w:t>
      </w:r>
    </w:p>
    <w:p w:rsidR="0039207A" w:rsidRDefault="0039207A" w:rsidP="0039207A">
      <w:pPr>
        <w:pStyle w:val="Paragraphedeliste"/>
        <w:numPr>
          <w:ilvl w:val="0"/>
          <w:numId w:val="1"/>
        </w:numPr>
      </w:pPr>
      <w:r>
        <w:t xml:space="preserve">en </w:t>
      </w:r>
      <w:r w:rsidR="002A3CA0">
        <w:t>admettant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encore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lastRenderedPageBreak/>
        <w:t>jusqu’à ce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malgré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non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pour peu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pour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pourvu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quoique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sans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si tant est que</w:t>
      </w:r>
    </w:p>
    <w:p w:rsidR="002A3CA0" w:rsidRDefault="002A3CA0" w:rsidP="0039207A">
      <w:pPr>
        <w:pStyle w:val="Paragraphedeliste"/>
        <w:numPr>
          <w:ilvl w:val="0"/>
          <w:numId w:val="1"/>
        </w:numPr>
      </w:pPr>
      <w:r>
        <w:t>soit que…</w:t>
      </w:r>
    </w:p>
    <w:p w:rsidR="002A3CA0" w:rsidRDefault="002A3CA0" w:rsidP="00DD7184">
      <w:pPr>
        <w:sectPr w:rsidR="002A3CA0" w:rsidSect="002A3CA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2A3CA0" w:rsidRDefault="002A3CA0" w:rsidP="00DD7184"/>
    <w:p w:rsidR="002A3CA0" w:rsidRDefault="002A3CA0" w:rsidP="00DD7184">
      <w:r>
        <w:t xml:space="preserve">Dans une phrase </w:t>
      </w:r>
      <w:r w:rsidR="00E24BB4">
        <w:t>ayan</w:t>
      </w:r>
      <w:r>
        <w:t xml:space="preserve">t des propositions relatives, il est utilisé pour exprimer une idée non concrétisée. </w:t>
      </w:r>
    </w:p>
    <w:p w:rsidR="002A3CA0" w:rsidRDefault="002A3CA0" w:rsidP="00DD7184"/>
    <w:p w:rsidR="001B5D99" w:rsidRDefault="001B5D99" w:rsidP="00DD7184">
      <w:r>
        <w:t xml:space="preserve">Il comporte 4 temps de verbes : le présent du subjonctif, le passé du subjonctif, imparfait du subjonctif et le plus-que-parfait du subjonctif. </w:t>
      </w:r>
    </w:p>
    <w:p w:rsidR="002B62EC" w:rsidRDefault="002B62EC" w:rsidP="00DD7184">
      <w:pPr>
        <w:rPr>
          <w:b/>
          <w:sz w:val="28"/>
          <w:u w:val="single"/>
        </w:rPr>
      </w:pPr>
    </w:p>
    <w:p w:rsidR="008F1612" w:rsidRPr="00E24BB4" w:rsidRDefault="00F01717" w:rsidP="00DD7184">
      <w:pPr>
        <w:rPr>
          <w:b/>
          <w:sz w:val="28"/>
          <w:u w:val="single"/>
        </w:rPr>
      </w:pPr>
      <w:r w:rsidRPr="00E24BB4">
        <w:rPr>
          <w:b/>
          <w:sz w:val="28"/>
          <w:u w:val="single"/>
        </w:rPr>
        <w:lastRenderedPageBreak/>
        <w:t>Conjugaison</w:t>
      </w:r>
    </w:p>
    <w:p w:rsidR="002A3CA0" w:rsidRPr="00E24BB4" w:rsidRDefault="002A3CA0" w:rsidP="00DD7184">
      <w:pPr>
        <w:rPr>
          <w:i/>
          <w:sz w:val="28"/>
          <w:u w:val="single"/>
        </w:rPr>
      </w:pPr>
      <w:r w:rsidRPr="00E24BB4">
        <w:rPr>
          <w:i/>
          <w:sz w:val="28"/>
          <w:u w:val="single"/>
        </w:rPr>
        <w:t>Subjonctif présent</w:t>
      </w:r>
    </w:p>
    <w:p w:rsidR="002A3CA0" w:rsidRDefault="002A3CA0" w:rsidP="00DD7184">
      <w:r>
        <w:t xml:space="preserve">On utilise le subjonctif présent lorsqu’une action dans une phrase a lieu PENDANT l’action principale ou APRÈS. </w:t>
      </w:r>
    </w:p>
    <w:p w:rsidR="00F01717" w:rsidRDefault="00F01717" w:rsidP="00DD7184">
      <w:r>
        <w:t>VERBE DU 1</w:t>
      </w:r>
      <w:r w:rsidRPr="00F01717">
        <w:rPr>
          <w:vertAlign w:val="superscript"/>
        </w:rPr>
        <w:t>ER</w:t>
      </w:r>
      <w:r>
        <w:t xml:space="preserve"> GROUPE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F01717" w:rsidTr="00F01717">
        <w:trPr>
          <w:trHeight w:val="358"/>
        </w:trPr>
        <w:tc>
          <w:tcPr>
            <w:tcW w:w="2361" w:type="dxa"/>
          </w:tcPr>
          <w:p w:rsidR="00F01717" w:rsidRDefault="00F01717" w:rsidP="00DD7184">
            <w:r>
              <w:t>personne</w:t>
            </w:r>
          </w:p>
        </w:tc>
        <w:tc>
          <w:tcPr>
            <w:tcW w:w="2361" w:type="dxa"/>
          </w:tcPr>
          <w:p w:rsidR="00F01717" w:rsidRDefault="00F01717" w:rsidP="00DD7184">
            <w:r>
              <w:t>terminaison</w:t>
            </w:r>
          </w:p>
        </w:tc>
      </w:tr>
      <w:tr w:rsidR="00F01717" w:rsidTr="00F01717">
        <w:trPr>
          <w:trHeight w:val="379"/>
        </w:trPr>
        <w:tc>
          <w:tcPr>
            <w:tcW w:w="2361" w:type="dxa"/>
          </w:tcPr>
          <w:p w:rsidR="00F01717" w:rsidRDefault="00F01717" w:rsidP="00DD7184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F01717" w:rsidRDefault="00F01717" w:rsidP="00DD7184">
            <w:r>
              <w:t>-e</w:t>
            </w:r>
          </w:p>
        </w:tc>
      </w:tr>
      <w:tr w:rsidR="00F01717" w:rsidTr="00F01717">
        <w:trPr>
          <w:trHeight w:val="358"/>
        </w:trPr>
        <w:tc>
          <w:tcPr>
            <w:tcW w:w="2361" w:type="dxa"/>
          </w:tcPr>
          <w:p w:rsidR="00F01717" w:rsidRDefault="00F01717" w:rsidP="00DD7184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F01717" w:rsidRDefault="00F01717" w:rsidP="00DD7184">
            <w:r>
              <w:t>-es</w:t>
            </w:r>
          </w:p>
        </w:tc>
      </w:tr>
      <w:tr w:rsidR="00F01717" w:rsidTr="00F01717">
        <w:trPr>
          <w:trHeight w:val="379"/>
        </w:trPr>
        <w:tc>
          <w:tcPr>
            <w:tcW w:w="2361" w:type="dxa"/>
          </w:tcPr>
          <w:p w:rsidR="00F01717" w:rsidRDefault="00F01717" w:rsidP="00DD7184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F01717" w:rsidRDefault="00F01717" w:rsidP="00DD7184">
            <w:r>
              <w:t>-e</w:t>
            </w:r>
          </w:p>
        </w:tc>
      </w:tr>
      <w:tr w:rsidR="00F01717" w:rsidTr="00F01717">
        <w:trPr>
          <w:trHeight w:val="379"/>
        </w:trPr>
        <w:tc>
          <w:tcPr>
            <w:tcW w:w="2361" w:type="dxa"/>
          </w:tcPr>
          <w:p w:rsidR="00F01717" w:rsidRDefault="00F01717" w:rsidP="00DD7184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F01717" w:rsidRDefault="00F01717" w:rsidP="00DD7184">
            <w:r>
              <w:t>-ions</w:t>
            </w:r>
          </w:p>
        </w:tc>
      </w:tr>
      <w:tr w:rsidR="00F01717" w:rsidTr="00F01717">
        <w:trPr>
          <w:trHeight w:val="358"/>
        </w:trPr>
        <w:tc>
          <w:tcPr>
            <w:tcW w:w="2361" w:type="dxa"/>
          </w:tcPr>
          <w:p w:rsidR="00F01717" w:rsidRDefault="00F01717" w:rsidP="00DD7184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F01717" w:rsidRDefault="00F01717" w:rsidP="00DD7184">
            <w:r>
              <w:t>-</w:t>
            </w:r>
            <w:proofErr w:type="spellStart"/>
            <w:r>
              <w:t>iez</w:t>
            </w:r>
            <w:proofErr w:type="spellEnd"/>
          </w:p>
        </w:tc>
      </w:tr>
      <w:tr w:rsidR="00F01717" w:rsidTr="00F01717">
        <w:trPr>
          <w:trHeight w:val="379"/>
        </w:trPr>
        <w:tc>
          <w:tcPr>
            <w:tcW w:w="2361" w:type="dxa"/>
          </w:tcPr>
          <w:p w:rsidR="00F01717" w:rsidRDefault="00F01717" w:rsidP="00DD7184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F01717" w:rsidRDefault="00F01717" w:rsidP="00DD7184">
            <w:r>
              <w:t>-</w:t>
            </w:r>
            <w:proofErr w:type="spellStart"/>
            <w:r>
              <w:t>ent</w:t>
            </w:r>
            <w:proofErr w:type="spellEnd"/>
          </w:p>
        </w:tc>
      </w:tr>
    </w:tbl>
    <w:p w:rsidR="00C42DAB" w:rsidRDefault="00C42DAB" w:rsidP="00DD7184"/>
    <w:p w:rsidR="00C42DAB" w:rsidRDefault="00C42DAB" w:rsidP="00DD7184"/>
    <w:p w:rsidR="00C42DAB" w:rsidRDefault="00C42DAB" w:rsidP="00DD7184"/>
    <w:p w:rsidR="00C42DAB" w:rsidRDefault="00C42DAB" w:rsidP="00DD7184"/>
    <w:p w:rsidR="00C42DAB" w:rsidRDefault="00C42DAB" w:rsidP="00DD7184"/>
    <w:p w:rsidR="008F1612" w:rsidRDefault="001B5D99" w:rsidP="00DD7184">
      <w:r>
        <w:t>VERBE DU 2</w:t>
      </w:r>
      <w:r w:rsidRPr="001B5D99">
        <w:rPr>
          <w:vertAlign w:val="superscript"/>
        </w:rPr>
        <w:t>E</w:t>
      </w:r>
      <w:r>
        <w:t xml:space="preserve"> GROUPE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personne</w:t>
            </w:r>
          </w:p>
        </w:tc>
        <w:tc>
          <w:tcPr>
            <w:tcW w:w="2361" w:type="dxa"/>
          </w:tcPr>
          <w:p w:rsidR="001B5D99" w:rsidRDefault="001B5D99" w:rsidP="00D566AC">
            <w:r>
              <w:t>terminaison</w:t>
            </w:r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1B5D99">
            <w:r>
              <w:t>-</w:t>
            </w:r>
            <w:proofErr w:type="spellStart"/>
            <w:r>
              <w:t>isse</w:t>
            </w:r>
            <w:proofErr w:type="spellEnd"/>
          </w:p>
        </w:tc>
      </w:tr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isses</w:t>
            </w:r>
            <w:proofErr w:type="spellEnd"/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isse</w:t>
            </w:r>
            <w:proofErr w:type="spellEnd"/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issions</w:t>
            </w:r>
            <w:proofErr w:type="spellEnd"/>
          </w:p>
        </w:tc>
      </w:tr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issiez</w:t>
            </w:r>
            <w:proofErr w:type="spellEnd"/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issent</w:t>
            </w:r>
            <w:proofErr w:type="spellEnd"/>
          </w:p>
        </w:tc>
      </w:tr>
    </w:tbl>
    <w:p w:rsidR="001B5D99" w:rsidRDefault="001B5D99" w:rsidP="00DD7184"/>
    <w:p w:rsidR="002B62EC" w:rsidRDefault="002B62EC" w:rsidP="00DD7184"/>
    <w:p w:rsidR="001B5D99" w:rsidRDefault="001B5D99" w:rsidP="00DD7184">
      <w:r>
        <w:lastRenderedPageBreak/>
        <w:t>VERBE DU 3</w:t>
      </w:r>
      <w:r w:rsidRPr="001B5D99">
        <w:rPr>
          <w:vertAlign w:val="superscript"/>
        </w:rPr>
        <w:t>E</w:t>
      </w:r>
      <w:r>
        <w:t xml:space="preserve">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personne</w:t>
            </w:r>
          </w:p>
        </w:tc>
        <w:tc>
          <w:tcPr>
            <w:tcW w:w="2361" w:type="dxa"/>
          </w:tcPr>
          <w:p w:rsidR="001B5D99" w:rsidRDefault="001B5D99" w:rsidP="00D566AC">
            <w:r>
              <w:t>terminaison</w:t>
            </w:r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D566AC">
            <w:r>
              <w:t>-e</w:t>
            </w:r>
          </w:p>
        </w:tc>
      </w:tr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D566AC">
            <w:r>
              <w:t>-es</w:t>
            </w:r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1B5D99" w:rsidRDefault="001B5D99" w:rsidP="00D566AC">
            <w:r>
              <w:t>-e</w:t>
            </w:r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-ions</w:t>
            </w:r>
          </w:p>
        </w:tc>
      </w:tr>
      <w:tr w:rsidR="001B5D99" w:rsidTr="00D566AC">
        <w:trPr>
          <w:trHeight w:val="358"/>
        </w:trPr>
        <w:tc>
          <w:tcPr>
            <w:tcW w:w="2361" w:type="dxa"/>
          </w:tcPr>
          <w:p w:rsidR="001B5D99" w:rsidRDefault="001B5D99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iez</w:t>
            </w:r>
            <w:proofErr w:type="spellEnd"/>
          </w:p>
        </w:tc>
      </w:tr>
      <w:tr w:rsidR="001B5D99" w:rsidTr="00D566AC">
        <w:trPr>
          <w:trHeight w:val="379"/>
        </w:trPr>
        <w:tc>
          <w:tcPr>
            <w:tcW w:w="2361" w:type="dxa"/>
          </w:tcPr>
          <w:p w:rsidR="001B5D99" w:rsidRDefault="001B5D99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1B5D99" w:rsidRDefault="001B5D99" w:rsidP="00D566AC">
            <w:r>
              <w:t>-</w:t>
            </w:r>
            <w:proofErr w:type="spellStart"/>
            <w:r>
              <w:t>ent</w:t>
            </w:r>
            <w:proofErr w:type="spellEnd"/>
          </w:p>
        </w:tc>
      </w:tr>
    </w:tbl>
    <w:p w:rsidR="002A3CA0" w:rsidRDefault="002A3CA0" w:rsidP="00DD7184"/>
    <w:p w:rsidR="002B62EC" w:rsidRDefault="002B62EC" w:rsidP="00DD7184"/>
    <w:p w:rsidR="002A3CA0" w:rsidRPr="00E24BB4" w:rsidRDefault="002A3CA0" w:rsidP="00DD7184">
      <w:pPr>
        <w:rPr>
          <w:i/>
          <w:sz w:val="28"/>
          <w:u w:val="single"/>
        </w:rPr>
      </w:pPr>
      <w:r w:rsidRPr="00E24BB4">
        <w:rPr>
          <w:i/>
          <w:sz w:val="28"/>
          <w:u w:val="single"/>
        </w:rPr>
        <w:t>Subjonctif passé</w:t>
      </w:r>
    </w:p>
    <w:p w:rsidR="00EC46C7" w:rsidRDefault="002A3CA0">
      <w:r>
        <w:t xml:space="preserve">On utilise le subjonctif passé pour exprimer une action incertaine, </w:t>
      </w:r>
      <w:r w:rsidR="00EC46C7">
        <w:t xml:space="preserve">SUPPOSÉ RÉALISÉE.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EC46C7" w:rsidTr="00EC46C7">
        <w:tc>
          <w:tcPr>
            <w:tcW w:w="2195" w:type="dxa"/>
          </w:tcPr>
          <w:p w:rsidR="00EC46C7" w:rsidRDefault="00EC46C7">
            <w:r>
              <w:t>personne</w:t>
            </w:r>
          </w:p>
        </w:tc>
        <w:tc>
          <w:tcPr>
            <w:tcW w:w="2195" w:type="dxa"/>
          </w:tcPr>
          <w:p w:rsidR="00EC46C7" w:rsidRDefault="00EC46C7">
            <w:r>
              <w:t>AUXILIÈRE AVOIR</w:t>
            </w:r>
          </w:p>
        </w:tc>
        <w:tc>
          <w:tcPr>
            <w:tcW w:w="2195" w:type="dxa"/>
          </w:tcPr>
          <w:p w:rsidR="00EC46C7" w:rsidRDefault="00EC46C7">
            <w:r>
              <w:t>AUXILIÈRE ÊTRE</w:t>
            </w:r>
          </w:p>
        </w:tc>
        <w:tc>
          <w:tcPr>
            <w:tcW w:w="2195" w:type="dxa"/>
            <w:vMerge w:val="restart"/>
          </w:tcPr>
          <w:p w:rsidR="00EC46C7" w:rsidRDefault="00EC46C7"/>
          <w:p w:rsidR="00EC46C7" w:rsidRDefault="00EC46C7"/>
          <w:p w:rsidR="00EC46C7" w:rsidRDefault="00EC46C7"/>
          <w:p w:rsidR="00EC46C7" w:rsidRDefault="00EC46C7"/>
          <w:p w:rsidR="00EC46C7" w:rsidRDefault="00EC46C7"/>
          <w:p w:rsidR="00EC46C7" w:rsidRDefault="00EC46C7">
            <w:r>
              <w:t>+ PARTICIPE PASSÉ</w:t>
            </w:r>
          </w:p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EC46C7">
            <w:r>
              <w:t>aie</w:t>
            </w:r>
          </w:p>
        </w:tc>
        <w:tc>
          <w:tcPr>
            <w:tcW w:w="2195" w:type="dxa"/>
          </w:tcPr>
          <w:p w:rsidR="00EC46C7" w:rsidRDefault="00EC46C7">
            <w:r>
              <w:t>sois</w:t>
            </w:r>
          </w:p>
        </w:tc>
        <w:tc>
          <w:tcPr>
            <w:tcW w:w="2195" w:type="dxa"/>
            <w:vMerge/>
          </w:tcPr>
          <w:p w:rsidR="00EC46C7" w:rsidRDefault="00EC46C7"/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EC46C7">
            <w:r>
              <w:t>aies</w:t>
            </w:r>
          </w:p>
        </w:tc>
        <w:tc>
          <w:tcPr>
            <w:tcW w:w="2195" w:type="dxa"/>
          </w:tcPr>
          <w:p w:rsidR="00EC46C7" w:rsidRDefault="00EC46C7">
            <w:r>
              <w:t>sois</w:t>
            </w:r>
          </w:p>
        </w:tc>
        <w:tc>
          <w:tcPr>
            <w:tcW w:w="2195" w:type="dxa"/>
            <w:vMerge/>
          </w:tcPr>
          <w:p w:rsidR="00EC46C7" w:rsidRDefault="00EC46C7"/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EC46C7">
            <w:r>
              <w:t>ait</w:t>
            </w:r>
          </w:p>
        </w:tc>
        <w:tc>
          <w:tcPr>
            <w:tcW w:w="2195" w:type="dxa"/>
          </w:tcPr>
          <w:p w:rsidR="00EC46C7" w:rsidRDefault="00EC46C7">
            <w:r>
              <w:t>soit</w:t>
            </w:r>
          </w:p>
        </w:tc>
        <w:tc>
          <w:tcPr>
            <w:tcW w:w="2195" w:type="dxa"/>
            <w:vMerge/>
          </w:tcPr>
          <w:p w:rsidR="00EC46C7" w:rsidRDefault="00EC46C7"/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EC46C7">
            <w:r>
              <w:t>ayons</w:t>
            </w:r>
          </w:p>
        </w:tc>
        <w:tc>
          <w:tcPr>
            <w:tcW w:w="2195" w:type="dxa"/>
          </w:tcPr>
          <w:p w:rsidR="00EC46C7" w:rsidRDefault="00EC46C7">
            <w:r>
              <w:t>soyons</w:t>
            </w:r>
          </w:p>
        </w:tc>
        <w:tc>
          <w:tcPr>
            <w:tcW w:w="2195" w:type="dxa"/>
            <w:vMerge/>
          </w:tcPr>
          <w:p w:rsidR="00EC46C7" w:rsidRDefault="00EC46C7"/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EC46C7">
            <w:r>
              <w:t>ayez</w:t>
            </w:r>
          </w:p>
        </w:tc>
        <w:tc>
          <w:tcPr>
            <w:tcW w:w="2195" w:type="dxa"/>
          </w:tcPr>
          <w:p w:rsidR="00EC46C7" w:rsidRDefault="00EC46C7">
            <w:r>
              <w:t>soyez</w:t>
            </w:r>
          </w:p>
        </w:tc>
        <w:tc>
          <w:tcPr>
            <w:tcW w:w="2195" w:type="dxa"/>
            <w:vMerge/>
          </w:tcPr>
          <w:p w:rsidR="00EC46C7" w:rsidRDefault="00EC46C7"/>
        </w:tc>
      </w:tr>
      <w:tr w:rsidR="00EC46C7" w:rsidTr="00EC46C7">
        <w:tc>
          <w:tcPr>
            <w:tcW w:w="2195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EC46C7">
            <w:r>
              <w:t>aient</w:t>
            </w:r>
          </w:p>
        </w:tc>
        <w:tc>
          <w:tcPr>
            <w:tcW w:w="2195" w:type="dxa"/>
          </w:tcPr>
          <w:p w:rsidR="00EC46C7" w:rsidRDefault="00EC46C7">
            <w:r>
              <w:t>soient</w:t>
            </w:r>
          </w:p>
        </w:tc>
        <w:tc>
          <w:tcPr>
            <w:tcW w:w="2195" w:type="dxa"/>
            <w:vMerge/>
          </w:tcPr>
          <w:p w:rsidR="00EC46C7" w:rsidRDefault="00EC46C7"/>
        </w:tc>
      </w:tr>
    </w:tbl>
    <w:p w:rsidR="0062524F" w:rsidRPr="0062524F" w:rsidRDefault="002A3CA0">
      <w:r>
        <w:t xml:space="preserve"> </w:t>
      </w:r>
    </w:p>
    <w:p w:rsidR="002B62EC" w:rsidRDefault="002B62EC"/>
    <w:p w:rsidR="002B62EC" w:rsidRDefault="002B62EC"/>
    <w:p w:rsidR="002B62EC" w:rsidRDefault="002B62EC"/>
    <w:p w:rsidR="002B62EC" w:rsidRDefault="002B62EC"/>
    <w:p w:rsidR="002B62EC" w:rsidRDefault="002B62EC"/>
    <w:p w:rsidR="002B62EC" w:rsidRDefault="002B62EC"/>
    <w:p w:rsidR="002B62EC" w:rsidRDefault="002B62EC"/>
    <w:p w:rsidR="0062524F" w:rsidRDefault="00EC46C7">
      <w:r>
        <w:lastRenderedPageBreak/>
        <w:t>Imparfait du subjonctif</w:t>
      </w:r>
    </w:p>
    <w:p w:rsidR="00EC46C7" w:rsidRDefault="00EC46C7">
      <w:r>
        <w:t>L’imparfait du subjonctif est utilisé en littérature et pour exprimer une action INCERTAINE, NON RÉALISÉ pendant que le locuteur s’exprimait.</w:t>
      </w:r>
    </w:p>
    <w:p w:rsidR="00EC46C7" w:rsidRDefault="00EC46C7" w:rsidP="00EC46C7">
      <w:r>
        <w:t>VERBE DU 1</w:t>
      </w:r>
      <w:r w:rsidRPr="00F01717">
        <w:rPr>
          <w:vertAlign w:val="superscript"/>
        </w:rPr>
        <w:t>ER</w:t>
      </w:r>
      <w:r>
        <w:t xml:space="preserve"> GROUPE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personne</w:t>
            </w:r>
          </w:p>
        </w:tc>
        <w:tc>
          <w:tcPr>
            <w:tcW w:w="2361" w:type="dxa"/>
          </w:tcPr>
          <w:p w:rsidR="00EC46C7" w:rsidRDefault="00EC46C7" w:rsidP="00D566AC">
            <w:r>
              <w:t>terminaison</w:t>
            </w:r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-asse</w:t>
            </w:r>
          </w:p>
        </w:tc>
      </w:tr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-asses</w:t>
            </w:r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ât</w:t>
            </w:r>
            <w:proofErr w:type="spellEnd"/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assions</w:t>
            </w:r>
            <w:proofErr w:type="spellEnd"/>
          </w:p>
        </w:tc>
      </w:tr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assiez</w:t>
            </w:r>
            <w:proofErr w:type="spellEnd"/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-assent</w:t>
            </w:r>
          </w:p>
        </w:tc>
      </w:tr>
    </w:tbl>
    <w:p w:rsidR="00EC46C7" w:rsidRDefault="00EC46C7" w:rsidP="00EC46C7">
      <w:r>
        <w:t>VERBE DU 2</w:t>
      </w:r>
      <w:r>
        <w:rPr>
          <w:vertAlign w:val="superscript"/>
        </w:rPr>
        <w:t>E</w:t>
      </w:r>
      <w:r>
        <w:t xml:space="preserve"> GROUPE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personne</w:t>
            </w:r>
          </w:p>
        </w:tc>
        <w:tc>
          <w:tcPr>
            <w:tcW w:w="2361" w:type="dxa"/>
          </w:tcPr>
          <w:p w:rsidR="00EC46C7" w:rsidRDefault="00EC46C7" w:rsidP="00D566AC">
            <w:r>
              <w:t>terminaison</w:t>
            </w:r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</w:t>
            </w:r>
            <w:proofErr w:type="spellEnd"/>
          </w:p>
        </w:tc>
      </w:tr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isses</w:t>
            </w:r>
            <w:proofErr w:type="spellEnd"/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ît</w:t>
            </w:r>
            <w:proofErr w:type="spellEnd"/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issions</w:t>
            </w:r>
            <w:proofErr w:type="spellEnd"/>
          </w:p>
        </w:tc>
      </w:tr>
      <w:tr w:rsidR="00EC46C7" w:rsidTr="00D566AC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issiez</w:t>
            </w:r>
            <w:proofErr w:type="spellEnd"/>
          </w:p>
        </w:tc>
      </w:tr>
      <w:tr w:rsidR="00EC46C7" w:rsidTr="00D566AC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issent</w:t>
            </w:r>
            <w:proofErr w:type="spellEnd"/>
          </w:p>
        </w:tc>
      </w:tr>
    </w:tbl>
    <w:p w:rsidR="00EC46C7" w:rsidRDefault="00EC46C7" w:rsidP="00EC46C7">
      <w:r>
        <w:t>VERBE DU 3</w:t>
      </w:r>
      <w:r>
        <w:rPr>
          <w:vertAlign w:val="superscript"/>
        </w:rPr>
        <w:t>E</w:t>
      </w:r>
      <w:r>
        <w:t xml:space="preserve"> GROUPE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EC46C7" w:rsidTr="0037723D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personne</w:t>
            </w:r>
          </w:p>
        </w:tc>
        <w:tc>
          <w:tcPr>
            <w:tcW w:w="2361" w:type="dxa"/>
          </w:tcPr>
          <w:p w:rsidR="00EC46C7" w:rsidRDefault="00EC46C7" w:rsidP="00D566AC">
            <w:r>
              <w:t>Terminaison (modèle 1)</w:t>
            </w:r>
          </w:p>
        </w:tc>
        <w:tc>
          <w:tcPr>
            <w:tcW w:w="2361" w:type="dxa"/>
          </w:tcPr>
          <w:p w:rsidR="00EC46C7" w:rsidRDefault="00EC46C7" w:rsidP="00D566AC">
            <w:r>
              <w:t>Terminaison (modèle 2)</w:t>
            </w:r>
          </w:p>
        </w:tc>
      </w:tr>
      <w:tr w:rsidR="00EC46C7" w:rsidTr="0037723D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usse</w:t>
            </w:r>
            <w:proofErr w:type="spellEnd"/>
          </w:p>
        </w:tc>
      </w:tr>
      <w:tr w:rsidR="00EC46C7" w:rsidTr="0037723D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isses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usses</w:t>
            </w:r>
            <w:proofErr w:type="spellEnd"/>
          </w:p>
        </w:tc>
      </w:tr>
      <w:tr w:rsidR="00EC46C7" w:rsidTr="0037723D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ît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ût</w:t>
            </w:r>
            <w:proofErr w:type="spellEnd"/>
          </w:p>
        </w:tc>
      </w:tr>
      <w:tr w:rsidR="00EC46C7" w:rsidTr="0037723D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issions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ussions</w:t>
            </w:r>
            <w:proofErr w:type="spellEnd"/>
          </w:p>
        </w:tc>
      </w:tr>
      <w:tr w:rsidR="00EC46C7" w:rsidTr="0037723D">
        <w:trPr>
          <w:trHeight w:val="358"/>
        </w:trPr>
        <w:tc>
          <w:tcPr>
            <w:tcW w:w="2361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issiez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ussiez</w:t>
            </w:r>
            <w:proofErr w:type="spellEnd"/>
          </w:p>
        </w:tc>
      </w:tr>
      <w:tr w:rsidR="00EC46C7" w:rsidTr="0037723D">
        <w:trPr>
          <w:trHeight w:val="379"/>
        </w:trPr>
        <w:tc>
          <w:tcPr>
            <w:tcW w:w="2361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issent</w:t>
            </w:r>
            <w:proofErr w:type="spellEnd"/>
          </w:p>
        </w:tc>
        <w:tc>
          <w:tcPr>
            <w:tcW w:w="2361" w:type="dxa"/>
          </w:tcPr>
          <w:p w:rsidR="00EC46C7" w:rsidRDefault="00EC46C7" w:rsidP="00D566AC">
            <w:r>
              <w:t>-</w:t>
            </w:r>
            <w:proofErr w:type="spellStart"/>
            <w:r>
              <w:t>ussent</w:t>
            </w:r>
            <w:proofErr w:type="spellEnd"/>
          </w:p>
        </w:tc>
      </w:tr>
    </w:tbl>
    <w:p w:rsidR="00C42DAB" w:rsidRDefault="00C42DAB">
      <w:pPr>
        <w:rPr>
          <w:i/>
          <w:sz w:val="28"/>
          <w:u w:val="single"/>
        </w:rPr>
      </w:pPr>
    </w:p>
    <w:p w:rsidR="0062524F" w:rsidRPr="00E24BB4" w:rsidRDefault="00EC46C7">
      <w:pPr>
        <w:rPr>
          <w:i/>
          <w:sz w:val="28"/>
          <w:u w:val="single"/>
        </w:rPr>
      </w:pPr>
      <w:r w:rsidRPr="00E24BB4">
        <w:rPr>
          <w:i/>
          <w:sz w:val="28"/>
          <w:u w:val="single"/>
        </w:rPr>
        <w:lastRenderedPageBreak/>
        <w:t>Plus-que-parfait du subjonctif</w:t>
      </w:r>
    </w:p>
    <w:p w:rsidR="00EC46C7" w:rsidRDefault="00EC46C7" w:rsidP="00EC46C7">
      <w:r>
        <w:t>Le plus-que-parfait du subjonctif est, comme l’imparfait de subjonctif, surtout utilisé en littérature pour une ACTION INCERTAINE, NON RÉALISÉ pendant que le narrateur s’exprimait.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EC46C7" w:rsidTr="00D566AC">
        <w:tc>
          <w:tcPr>
            <w:tcW w:w="2195" w:type="dxa"/>
          </w:tcPr>
          <w:p w:rsidR="00EC46C7" w:rsidRDefault="00EC46C7" w:rsidP="00D566AC">
            <w:r>
              <w:t>personne</w:t>
            </w:r>
          </w:p>
        </w:tc>
        <w:tc>
          <w:tcPr>
            <w:tcW w:w="2195" w:type="dxa"/>
          </w:tcPr>
          <w:p w:rsidR="00EC46C7" w:rsidRDefault="00EC46C7" w:rsidP="00D566AC">
            <w:r>
              <w:t>AUXILIÈRE AVOIR</w:t>
            </w:r>
          </w:p>
        </w:tc>
        <w:tc>
          <w:tcPr>
            <w:tcW w:w="2195" w:type="dxa"/>
          </w:tcPr>
          <w:p w:rsidR="00EC46C7" w:rsidRDefault="00EC46C7" w:rsidP="00D566AC">
            <w:r>
              <w:t>AUXILIÈRE ÊTRE</w:t>
            </w:r>
          </w:p>
        </w:tc>
        <w:tc>
          <w:tcPr>
            <w:tcW w:w="2195" w:type="dxa"/>
            <w:vMerge w:val="restart"/>
          </w:tcPr>
          <w:p w:rsidR="00EC46C7" w:rsidRDefault="00EC46C7" w:rsidP="00D566AC"/>
          <w:p w:rsidR="00EC46C7" w:rsidRDefault="00EC46C7" w:rsidP="00D566AC"/>
          <w:p w:rsidR="00EC46C7" w:rsidRDefault="00EC46C7" w:rsidP="00D566AC"/>
          <w:p w:rsidR="00EC46C7" w:rsidRDefault="00EC46C7" w:rsidP="00D566AC"/>
          <w:p w:rsidR="00EC46C7" w:rsidRDefault="00EC46C7" w:rsidP="00D566AC"/>
          <w:p w:rsidR="00EC46C7" w:rsidRDefault="00EC46C7" w:rsidP="00D566AC">
            <w:r>
              <w:t>+ PARTICIPE PASSÉ</w:t>
            </w:r>
          </w:p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911D61" w:rsidP="00D566AC">
            <w:r>
              <w:t>eusse</w:t>
            </w:r>
          </w:p>
        </w:tc>
        <w:tc>
          <w:tcPr>
            <w:tcW w:w="2195" w:type="dxa"/>
          </w:tcPr>
          <w:p w:rsidR="00EC46C7" w:rsidRDefault="00911D61" w:rsidP="00D566AC">
            <w:r>
              <w:t>fusse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911D61" w:rsidP="00D566AC">
            <w:r>
              <w:t>eusses</w:t>
            </w:r>
          </w:p>
        </w:tc>
        <w:tc>
          <w:tcPr>
            <w:tcW w:w="2195" w:type="dxa"/>
          </w:tcPr>
          <w:p w:rsidR="00EC46C7" w:rsidRDefault="00911D61" w:rsidP="00D566AC">
            <w:r>
              <w:t>fusses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singulier</w:t>
            </w:r>
          </w:p>
        </w:tc>
        <w:tc>
          <w:tcPr>
            <w:tcW w:w="2195" w:type="dxa"/>
          </w:tcPr>
          <w:p w:rsidR="00EC46C7" w:rsidRDefault="00911D61" w:rsidP="00D566AC">
            <w:r>
              <w:t>eût</w:t>
            </w:r>
          </w:p>
        </w:tc>
        <w:tc>
          <w:tcPr>
            <w:tcW w:w="2195" w:type="dxa"/>
          </w:tcPr>
          <w:p w:rsidR="00EC46C7" w:rsidRDefault="00911D61" w:rsidP="00D566AC">
            <w:r>
              <w:t>fût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1</w:t>
            </w:r>
            <w:r w:rsidRPr="00F01717">
              <w:rPr>
                <w:vertAlign w:val="superscript"/>
              </w:rPr>
              <w:t>ère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911D61" w:rsidP="00D566AC">
            <w:r>
              <w:t>eussions</w:t>
            </w:r>
          </w:p>
        </w:tc>
        <w:tc>
          <w:tcPr>
            <w:tcW w:w="2195" w:type="dxa"/>
          </w:tcPr>
          <w:p w:rsidR="00EC46C7" w:rsidRDefault="00911D61" w:rsidP="00D566AC">
            <w:r>
              <w:t>fussions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2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911D61" w:rsidP="00D566AC">
            <w:r>
              <w:t>eussiez</w:t>
            </w:r>
          </w:p>
        </w:tc>
        <w:tc>
          <w:tcPr>
            <w:tcW w:w="2195" w:type="dxa"/>
          </w:tcPr>
          <w:p w:rsidR="00EC46C7" w:rsidRDefault="00911D61" w:rsidP="00D566AC">
            <w:r>
              <w:t>fussiez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  <w:tr w:rsidR="00EC46C7" w:rsidTr="00D566AC">
        <w:tc>
          <w:tcPr>
            <w:tcW w:w="2195" w:type="dxa"/>
          </w:tcPr>
          <w:p w:rsidR="00EC46C7" w:rsidRDefault="00EC46C7" w:rsidP="00D566AC">
            <w:r>
              <w:t>3</w:t>
            </w:r>
            <w:r w:rsidRPr="00F01717">
              <w:rPr>
                <w:vertAlign w:val="superscript"/>
              </w:rPr>
              <w:t>e</w:t>
            </w:r>
            <w:r>
              <w:t xml:space="preserve"> personne du pluriel</w:t>
            </w:r>
          </w:p>
        </w:tc>
        <w:tc>
          <w:tcPr>
            <w:tcW w:w="2195" w:type="dxa"/>
          </w:tcPr>
          <w:p w:rsidR="00EC46C7" w:rsidRDefault="00911D61" w:rsidP="00D566AC">
            <w:r>
              <w:t>eussent</w:t>
            </w:r>
          </w:p>
        </w:tc>
        <w:tc>
          <w:tcPr>
            <w:tcW w:w="2195" w:type="dxa"/>
          </w:tcPr>
          <w:p w:rsidR="00EC46C7" w:rsidRDefault="00911D61" w:rsidP="00D566AC">
            <w:r>
              <w:t>fussent</w:t>
            </w:r>
          </w:p>
        </w:tc>
        <w:tc>
          <w:tcPr>
            <w:tcW w:w="2195" w:type="dxa"/>
            <w:vMerge/>
          </w:tcPr>
          <w:p w:rsidR="00EC46C7" w:rsidRDefault="00EC46C7" w:rsidP="00D566AC"/>
        </w:tc>
      </w:tr>
    </w:tbl>
    <w:p w:rsidR="0072306D" w:rsidRDefault="0072306D"/>
    <w:p w:rsidR="009271C3" w:rsidRDefault="009271C3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6212C"/>
          <w:sz w:val="23"/>
          <w:szCs w:val="23"/>
          <w:shd w:val="clear" w:color="auto" w:fill="FFFFFF"/>
        </w:rPr>
        <w:t xml:space="preserve"> </w:t>
      </w: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Default="000559B5" w:rsidP="00C42C24">
      <w:pPr>
        <w:rPr>
          <w:rFonts w:ascii="Arial" w:hAnsi="Arial" w:cs="Arial"/>
          <w:color w:val="16212C"/>
          <w:sz w:val="23"/>
          <w:szCs w:val="23"/>
          <w:shd w:val="clear" w:color="auto" w:fill="FFFFFF"/>
        </w:rPr>
      </w:pPr>
    </w:p>
    <w:p w:rsidR="000559B5" w:rsidRPr="000559B5" w:rsidRDefault="000559B5" w:rsidP="00C42C24">
      <w:pPr>
        <w:rPr>
          <w:rFonts w:cstheme="minorHAnsi"/>
          <w:color w:val="16212C"/>
          <w:sz w:val="28"/>
          <w:szCs w:val="23"/>
          <w:u w:val="single"/>
          <w:shd w:val="clear" w:color="auto" w:fill="FFFFFF"/>
        </w:rPr>
      </w:pPr>
      <w:bookmarkStart w:id="0" w:name="_GoBack"/>
      <w:bookmarkEnd w:id="0"/>
    </w:p>
    <w:p w:rsidR="000559B5" w:rsidRDefault="000559B5" w:rsidP="00C42C24"/>
    <w:sectPr w:rsidR="000559B5" w:rsidSect="0039207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626"/>
    <w:multiLevelType w:val="hybridMultilevel"/>
    <w:tmpl w:val="CFCC3B64"/>
    <w:lvl w:ilvl="0" w:tplc="745C6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7A7A"/>
    <w:multiLevelType w:val="hybridMultilevel"/>
    <w:tmpl w:val="E2208C8A"/>
    <w:lvl w:ilvl="0" w:tplc="155AA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4F"/>
    <w:rsid w:val="000559B5"/>
    <w:rsid w:val="001A7F65"/>
    <w:rsid w:val="001B5D99"/>
    <w:rsid w:val="001C6BD8"/>
    <w:rsid w:val="002A3CA0"/>
    <w:rsid w:val="002B62EC"/>
    <w:rsid w:val="0039207A"/>
    <w:rsid w:val="003975F6"/>
    <w:rsid w:val="00474797"/>
    <w:rsid w:val="0062524F"/>
    <w:rsid w:val="0063685B"/>
    <w:rsid w:val="00717FC1"/>
    <w:rsid w:val="0072306D"/>
    <w:rsid w:val="007A7AA6"/>
    <w:rsid w:val="008F1612"/>
    <w:rsid w:val="00911D61"/>
    <w:rsid w:val="009271C3"/>
    <w:rsid w:val="00A37492"/>
    <w:rsid w:val="00A466C3"/>
    <w:rsid w:val="00B03C18"/>
    <w:rsid w:val="00BB72F8"/>
    <w:rsid w:val="00C42C24"/>
    <w:rsid w:val="00C42DAB"/>
    <w:rsid w:val="00C46B50"/>
    <w:rsid w:val="00CF07B4"/>
    <w:rsid w:val="00D63545"/>
    <w:rsid w:val="00D82CAC"/>
    <w:rsid w:val="00DD7184"/>
    <w:rsid w:val="00DF745C"/>
    <w:rsid w:val="00E24BB4"/>
    <w:rsid w:val="00E870B1"/>
    <w:rsid w:val="00EC46C7"/>
    <w:rsid w:val="00F01717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18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A7F65"/>
  </w:style>
  <w:style w:type="character" w:customStyle="1" w:styleId="gapspan">
    <w:name w:val="gapspan"/>
    <w:basedOn w:val="Policepardfaut"/>
    <w:rsid w:val="001A7F6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B7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B72F8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B7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B72F8"/>
    <w:rPr>
      <w:rFonts w:ascii="Arial" w:eastAsia="Times New Roman" w:hAnsi="Arial" w:cs="Arial"/>
      <w:vanish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F0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42DAB"/>
    <w:rPr>
      <w:i/>
      <w:iCs/>
    </w:rPr>
  </w:style>
  <w:style w:type="character" w:styleId="lev">
    <w:name w:val="Strong"/>
    <w:basedOn w:val="Policepardfaut"/>
    <w:uiPriority w:val="22"/>
    <w:qFormat/>
    <w:rsid w:val="00474797"/>
    <w:rPr>
      <w:b/>
      <w:bCs/>
    </w:rPr>
  </w:style>
  <w:style w:type="character" w:styleId="Lienhypertexte">
    <w:name w:val="Hyperlink"/>
    <w:basedOn w:val="Policepardfaut"/>
    <w:uiPriority w:val="99"/>
    <w:unhideWhenUsed/>
    <w:rsid w:val="0047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18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A7F65"/>
  </w:style>
  <w:style w:type="character" w:customStyle="1" w:styleId="gapspan">
    <w:name w:val="gapspan"/>
    <w:basedOn w:val="Policepardfaut"/>
    <w:rsid w:val="001A7F6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B7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B72F8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B7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B72F8"/>
    <w:rPr>
      <w:rFonts w:ascii="Arial" w:eastAsia="Times New Roman" w:hAnsi="Arial" w:cs="Arial"/>
      <w:vanish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F0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42DAB"/>
    <w:rPr>
      <w:i/>
      <w:iCs/>
    </w:rPr>
  </w:style>
  <w:style w:type="character" w:styleId="lev">
    <w:name w:val="Strong"/>
    <w:basedOn w:val="Policepardfaut"/>
    <w:uiPriority w:val="22"/>
    <w:qFormat/>
    <w:rsid w:val="00474797"/>
    <w:rPr>
      <w:b/>
      <w:bCs/>
    </w:rPr>
  </w:style>
  <w:style w:type="character" w:styleId="Lienhypertexte">
    <w:name w:val="Hyperlink"/>
    <w:basedOn w:val="Policepardfaut"/>
    <w:uiPriority w:val="99"/>
    <w:unhideWhenUsed/>
    <w:rsid w:val="0047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041">
          <w:marLeft w:val="0"/>
          <w:marRight w:val="0"/>
          <w:marTop w:val="0"/>
          <w:marBottom w:val="15"/>
          <w:divBdr>
            <w:top w:val="single" w:sz="6" w:space="6" w:color="804000"/>
            <w:left w:val="single" w:sz="6" w:space="6" w:color="804000"/>
            <w:bottom w:val="single" w:sz="6" w:space="6" w:color="804000"/>
            <w:right w:val="single" w:sz="6" w:space="6" w:color="804000"/>
          </w:divBdr>
        </w:div>
        <w:div w:id="1845701334">
          <w:marLeft w:val="0"/>
          <w:marRight w:val="0"/>
          <w:marTop w:val="0"/>
          <w:marBottom w:val="15"/>
          <w:divBdr>
            <w:top w:val="single" w:sz="6" w:space="6" w:color="804000"/>
            <w:left w:val="single" w:sz="6" w:space="6" w:color="804000"/>
            <w:bottom w:val="single" w:sz="6" w:space="6" w:color="804000"/>
            <w:right w:val="single" w:sz="6" w:space="6" w:color="804000"/>
          </w:divBdr>
          <w:divsChild>
            <w:div w:id="10953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54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istancescolaire.com/eleve/6e/francais/lexique/M-mode-du-verbe-fc_m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6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2012-11-07T15:38:00Z</dcterms:created>
  <dcterms:modified xsi:type="dcterms:W3CDTF">2012-12-03T16:19:00Z</dcterms:modified>
</cp:coreProperties>
</file>